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858E4" w14:textId="77777777" w:rsidR="0032332E" w:rsidRPr="0032332E" w:rsidRDefault="0032332E" w:rsidP="0032332E">
      <w:pPr>
        <w:jc w:val="center"/>
        <w:rPr>
          <w:b/>
          <w:color w:val="000000" w:themeColor="text1"/>
        </w:rPr>
      </w:pPr>
      <w:bookmarkStart w:id="0" w:name="_GoBack"/>
      <w:bookmarkEnd w:id="0"/>
      <w:r w:rsidRPr="0032332E">
        <w:rPr>
          <w:b/>
          <w:color w:val="000000" w:themeColor="text1"/>
        </w:rPr>
        <w:t>Smack Down at the YMCA</w:t>
      </w:r>
    </w:p>
    <w:p w14:paraId="4BE706EF" w14:textId="77777777" w:rsidR="0032332E" w:rsidRPr="0032332E" w:rsidRDefault="0032332E" w:rsidP="0032332E">
      <w:pPr>
        <w:jc w:val="center"/>
        <w:rPr>
          <w:b/>
          <w:color w:val="000000" w:themeColor="text1"/>
        </w:rPr>
      </w:pPr>
    </w:p>
    <w:p w14:paraId="7901CC12" w14:textId="77777777" w:rsidR="0032332E" w:rsidRPr="0032332E" w:rsidRDefault="0032332E" w:rsidP="0032332E">
      <w:pPr>
        <w:jc w:val="center"/>
        <w:rPr>
          <w:b/>
          <w:color w:val="000000" w:themeColor="text1"/>
        </w:rPr>
      </w:pPr>
    </w:p>
    <w:p w14:paraId="54FED928" w14:textId="77777777" w:rsidR="0032332E" w:rsidRPr="0032332E" w:rsidRDefault="0032332E" w:rsidP="0032332E">
      <w:pPr>
        <w:jc w:val="center"/>
        <w:rPr>
          <w:b/>
          <w:i/>
          <w:iCs/>
          <w:color w:val="000000" w:themeColor="text1"/>
        </w:rPr>
      </w:pPr>
      <w:r w:rsidRPr="0032332E">
        <w:rPr>
          <w:b/>
          <w:i/>
          <w:iCs/>
          <w:color w:val="000000" w:themeColor="text1"/>
        </w:rPr>
        <w:t>Isabelle P. Ruprecht, Saint Michael’s College</w:t>
      </w:r>
    </w:p>
    <w:p w14:paraId="0C994B82" w14:textId="70714A24" w:rsidR="0032332E" w:rsidRPr="0032332E" w:rsidRDefault="0032332E" w:rsidP="0032332E">
      <w:pPr>
        <w:kinsoku w:val="0"/>
        <w:overflowPunct w:val="0"/>
        <w:autoSpaceDE w:val="0"/>
        <w:autoSpaceDN w:val="0"/>
        <w:adjustRightInd w:val="0"/>
        <w:spacing w:line="254" w:lineRule="exact"/>
        <w:ind w:left="2416" w:right="2416"/>
        <w:jc w:val="center"/>
        <w:rPr>
          <w:rFonts w:eastAsiaTheme="minorHAnsi"/>
          <w:b/>
          <w:bCs/>
          <w:i/>
          <w:iCs/>
        </w:rPr>
      </w:pPr>
      <w:r w:rsidRPr="00B22EA2">
        <w:rPr>
          <w:rFonts w:eastAsiaTheme="minorHAnsi"/>
          <w:b/>
          <w:bCs/>
          <w:i/>
          <w:iCs/>
        </w:rPr>
        <w:t>Paul E. Olsen, Saint Michael’s College</w:t>
      </w:r>
    </w:p>
    <w:p w14:paraId="45363B24" w14:textId="4C87BBDA" w:rsidR="0032332E" w:rsidRPr="0032332E" w:rsidRDefault="0032332E" w:rsidP="0032332E">
      <w:pPr>
        <w:kinsoku w:val="0"/>
        <w:overflowPunct w:val="0"/>
        <w:autoSpaceDE w:val="0"/>
        <w:autoSpaceDN w:val="0"/>
        <w:adjustRightInd w:val="0"/>
        <w:spacing w:line="254" w:lineRule="exact"/>
        <w:ind w:left="2416" w:right="2416"/>
        <w:jc w:val="center"/>
        <w:rPr>
          <w:rFonts w:eastAsiaTheme="minorHAnsi"/>
          <w:b/>
          <w:bCs/>
          <w:i/>
          <w:iCs/>
        </w:rPr>
      </w:pPr>
    </w:p>
    <w:p w14:paraId="0E3E89FE" w14:textId="77777777" w:rsidR="0032332E" w:rsidRPr="0032332E" w:rsidRDefault="0032332E" w:rsidP="0032332E">
      <w:pPr>
        <w:kinsoku w:val="0"/>
        <w:overflowPunct w:val="0"/>
        <w:autoSpaceDE w:val="0"/>
        <w:autoSpaceDN w:val="0"/>
        <w:adjustRightInd w:val="0"/>
        <w:spacing w:line="254" w:lineRule="exact"/>
        <w:ind w:left="2416" w:right="2416"/>
        <w:jc w:val="center"/>
        <w:rPr>
          <w:rFonts w:eastAsiaTheme="minorHAnsi"/>
          <w:b/>
          <w:bCs/>
          <w:i/>
          <w:iCs/>
        </w:rPr>
      </w:pPr>
    </w:p>
    <w:p w14:paraId="36767415" w14:textId="45EEAF67" w:rsidR="0032332E" w:rsidRPr="0032332E" w:rsidRDefault="0032332E" w:rsidP="0032332E">
      <w:pPr>
        <w:rPr>
          <w:color w:val="000000" w:themeColor="text1"/>
        </w:rPr>
      </w:pPr>
      <w:r w:rsidRPr="0032332E">
        <w:rPr>
          <w:b/>
          <w:color w:val="000000" w:themeColor="text1"/>
        </w:rPr>
        <w:t>Abstract</w:t>
      </w:r>
    </w:p>
    <w:p w14:paraId="7950299C" w14:textId="77777777" w:rsidR="0032332E" w:rsidRPr="0032332E" w:rsidRDefault="0032332E" w:rsidP="0032332E">
      <w:pPr>
        <w:rPr>
          <w:color w:val="000000" w:themeColor="text1"/>
        </w:rPr>
      </w:pPr>
      <w:r w:rsidRPr="0032332E">
        <w:rPr>
          <w:color w:val="000000" w:themeColor="text1"/>
        </w:rPr>
        <w:t>This critical incident is about a personnel issue facing the Greater Burlington YMCA’s (GBYMCA) Senior Director of Human Resources, Michele O’Day. Tina White, one of the GBYMCA’s child care workers, showed up for work under the influence of drugs. Additionally, a bag of heroin fell out of the White’s pocket while at work. O’Day had to decide how to handle White in the short and long term. Should she be disciplined using the GBYMCA’s progressive discipline policy, referred to the GBYMCA’s Employee Assistance Program (EAP), or terminated immediately? As a grantee that had to comply with federal drug-free workplace regulations, O’Day also had to decide what actions she should take to make sure incidents like this do not happen again.</w:t>
      </w:r>
    </w:p>
    <w:p w14:paraId="135939AA" w14:textId="77777777" w:rsidR="0032332E" w:rsidRPr="0032332E" w:rsidRDefault="0032332E" w:rsidP="0032332E">
      <w:pPr>
        <w:rPr>
          <w:color w:val="000000" w:themeColor="text1"/>
        </w:rPr>
      </w:pPr>
    </w:p>
    <w:p w14:paraId="01D7EE52" w14:textId="77777777" w:rsidR="0032332E" w:rsidRPr="0032332E" w:rsidRDefault="0032332E" w:rsidP="0032332E">
      <w:pPr>
        <w:rPr>
          <w:b/>
          <w:color w:val="000000" w:themeColor="text1"/>
        </w:rPr>
      </w:pPr>
      <w:r w:rsidRPr="0032332E">
        <w:rPr>
          <w:b/>
          <w:color w:val="000000" w:themeColor="text1"/>
        </w:rPr>
        <w:t>Learning Outcomes</w:t>
      </w:r>
    </w:p>
    <w:p w14:paraId="15DF4190" w14:textId="77777777" w:rsidR="0032332E" w:rsidRPr="0032332E" w:rsidRDefault="0032332E" w:rsidP="0032332E">
      <w:pPr>
        <w:rPr>
          <w:color w:val="000000" w:themeColor="text1"/>
        </w:rPr>
      </w:pPr>
      <w:r w:rsidRPr="0032332E">
        <w:rPr>
          <w:color w:val="000000" w:themeColor="text1"/>
        </w:rPr>
        <w:t xml:space="preserve">In completing this assignment, students should be able to: </w:t>
      </w:r>
    </w:p>
    <w:p w14:paraId="30E2FEB7" w14:textId="77777777" w:rsidR="0032332E" w:rsidRPr="0032332E" w:rsidRDefault="0032332E" w:rsidP="0032332E">
      <w:pPr>
        <w:rPr>
          <w:b/>
          <w:bCs/>
          <w:color w:val="000000" w:themeColor="text1"/>
        </w:rPr>
      </w:pPr>
    </w:p>
    <w:p w14:paraId="0F527E50" w14:textId="77777777" w:rsidR="0032332E" w:rsidRPr="0032332E" w:rsidRDefault="0032332E" w:rsidP="0032332E">
      <w:pPr>
        <w:pStyle w:val="ListParagraph"/>
        <w:numPr>
          <w:ilvl w:val="0"/>
          <w:numId w:val="1"/>
        </w:numPr>
        <w:rPr>
          <w:color w:val="000000" w:themeColor="text1"/>
        </w:rPr>
      </w:pPr>
      <w:r w:rsidRPr="0032332E">
        <w:rPr>
          <w:color w:val="000000" w:themeColor="text1"/>
        </w:rPr>
        <w:t>Apply progressive discipline.</w:t>
      </w:r>
    </w:p>
    <w:p w14:paraId="6AC46FA4" w14:textId="77777777" w:rsidR="0032332E" w:rsidRPr="0032332E" w:rsidRDefault="0032332E" w:rsidP="0032332E">
      <w:pPr>
        <w:pStyle w:val="ListParagraph"/>
        <w:numPr>
          <w:ilvl w:val="0"/>
          <w:numId w:val="1"/>
        </w:numPr>
        <w:rPr>
          <w:color w:val="000000" w:themeColor="text1"/>
        </w:rPr>
      </w:pPr>
      <w:r w:rsidRPr="0032332E">
        <w:rPr>
          <w:color w:val="000000" w:themeColor="text1"/>
        </w:rPr>
        <w:t>Recommend appropriate discipline for policy violation.</w:t>
      </w:r>
    </w:p>
    <w:p w14:paraId="0CFBE9B5" w14:textId="77777777" w:rsidR="0032332E" w:rsidRPr="0032332E" w:rsidRDefault="0032332E" w:rsidP="0032332E">
      <w:pPr>
        <w:pStyle w:val="ListParagraph"/>
        <w:numPr>
          <w:ilvl w:val="0"/>
          <w:numId w:val="1"/>
        </w:numPr>
        <w:rPr>
          <w:color w:val="000000" w:themeColor="text1"/>
        </w:rPr>
      </w:pPr>
      <w:r w:rsidRPr="0032332E">
        <w:rPr>
          <w:color w:val="000000" w:themeColor="text1"/>
        </w:rPr>
        <w:t>Apply employment-at-will.</w:t>
      </w:r>
    </w:p>
    <w:p w14:paraId="37417349" w14:textId="77777777" w:rsidR="0032332E" w:rsidRPr="0032332E" w:rsidRDefault="0032332E" w:rsidP="0032332E">
      <w:pPr>
        <w:pStyle w:val="ListParagraph"/>
        <w:numPr>
          <w:ilvl w:val="0"/>
          <w:numId w:val="1"/>
        </w:numPr>
        <w:rPr>
          <w:color w:val="000000" w:themeColor="text1"/>
        </w:rPr>
      </w:pPr>
      <w:r w:rsidRPr="0032332E">
        <w:rPr>
          <w:color w:val="000000" w:themeColor="text1"/>
        </w:rPr>
        <w:t>Identify the pros and cons of referring employees to Employee Assistance Programs.</w:t>
      </w:r>
    </w:p>
    <w:p w14:paraId="0307132F" w14:textId="58140E71" w:rsidR="00036EE0" w:rsidRPr="0032332E" w:rsidRDefault="00036EE0"/>
    <w:p w14:paraId="147AE915" w14:textId="16305933" w:rsidR="0032332E" w:rsidRPr="0032332E" w:rsidRDefault="0032332E">
      <w:pPr>
        <w:rPr>
          <w:b/>
          <w:bCs/>
        </w:rPr>
      </w:pPr>
      <w:r w:rsidRPr="0032332E">
        <w:rPr>
          <w:b/>
          <w:bCs/>
        </w:rPr>
        <w:t>Application</w:t>
      </w:r>
    </w:p>
    <w:p w14:paraId="57DAB6AB" w14:textId="12009C9A" w:rsidR="0032332E" w:rsidRPr="0032332E" w:rsidRDefault="0032332E">
      <w:r w:rsidRPr="0032332E">
        <w:t>This critical incident is appropriate for undergraduate courses in human resource management and management.</w:t>
      </w:r>
    </w:p>
    <w:p w14:paraId="3C84773E" w14:textId="40DF6150" w:rsidR="0032332E" w:rsidRPr="0032332E" w:rsidRDefault="0032332E"/>
    <w:p w14:paraId="54A50118" w14:textId="490C751E" w:rsidR="0032332E" w:rsidRPr="0032332E" w:rsidRDefault="0032332E">
      <w:pPr>
        <w:rPr>
          <w:b/>
          <w:bCs/>
        </w:rPr>
      </w:pPr>
      <w:r w:rsidRPr="0032332E">
        <w:rPr>
          <w:b/>
          <w:bCs/>
        </w:rPr>
        <w:t>Key Words</w:t>
      </w:r>
    </w:p>
    <w:p w14:paraId="7DF5CDF8" w14:textId="2318E428" w:rsidR="0032332E" w:rsidRDefault="0032332E">
      <w:r>
        <w:t>Employee Assistance Programs (EAP), employment at will, progressive discipline, drugs in the workplace</w:t>
      </w:r>
    </w:p>
    <w:p w14:paraId="6CD18E96" w14:textId="77777777" w:rsidR="0032332E" w:rsidRPr="0032332E" w:rsidRDefault="0032332E"/>
    <w:p w14:paraId="41711A82" w14:textId="5542300F" w:rsidR="0032332E" w:rsidRPr="0032332E" w:rsidRDefault="0032332E">
      <w:pPr>
        <w:rPr>
          <w:b/>
          <w:bCs/>
        </w:rPr>
      </w:pPr>
      <w:r w:rsidRPr="0032332E">
        <w:rPr>
          <w:b/>
          <w:bCs/>
        </w:rPr>
        <w:t>Contact</w:t>
      </w:r>
    </w:p>
    <w:p w14:paraId="673A9A38" w14:textId="673A78AB" w:rsidR="0032332E" w:rsidRPr="0032332E" w:rsidRDefault="0032332E">
      <w:r w:rsidRPr="0032332E">
        <w:t>Dr. Paul E. Olsen, Department of Business Administration and Accounting, Saint Michael’s College, One Winooski Park, Colchester, Vermont, 05439. 802.654.2661. polsen@smcvt.edu.</w:t>
      </w:r>
    </w:p>
    <w:sectPr w:rsidR="0032332E" w:rsidRPr="003233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587BFD"/>
    <w:multiLevelType w:val="hybridMultilevel"/>
    <w:tmpl w:val="D994A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32E"/>
    <w:rsid w:val="00036EE0"/>
    <w:rsid w:val="0032332E"/>
    <w:rsid w:val="00914749"/>
    <w:rsid w:val="00C278C4"/>
    <w:rsid w:val="00CF3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E8AC1"/>
  <w15:chartTrackingRefBased/>
  <w15:docId w15:val="{5DEFF424-E986-408B-ABCA-695E5450F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33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9352-914C-423A-A4DE-0B321D3F1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 Michael's College</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Paul</dc:creator>
  <cp:keywords/>
  <dc:description/>
  <cp:lastModifiedBy>Mayce Baxter</cp:lastModifiedBy>
  <cp:revision>2</cp:revision>
  <dcterms:created xsi:type="dcterms:W3CDTF">2023-11-29T21:43:00Z</dcterms:created>
  <dcterms:modified xsi:type="dcterms:W3CDTF">2023-11-29T21:43:00Z</dcterms:modified>
</cp:coreProperties>
</file>